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245" w:rsidRDefault="00DB4114">
      <w:pPr>
        <w:pStyle w:val="a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-313055</wp:posOffset>
            </wp:positionV>
            <wp:extent cx="739775" cy="861060"/>
            <wp:effectExtent l="0" t="0" r="3175" b="0"/>
            <wp:wrapNone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245" w:rsidRDefault="00F77245">
      <w:pPr>
        <w:pStyle w:val="a9"/>
        <w:rPr>
          <w:sz w:val="22"/>
          <w:szCs w:val="22"/>
        </w:rPr>
      </w:pPr>
    </w:p>
    <w:p w:rsidR="00F77245" w:rsidRDefault="00F77245">
      <w:pPr>
        <w:pStyle w:val="a9"/>
        <w:rPr>
          <w:sz w:val="22"/>
          <w:szCs w:val="22"/>
        </w:rPr>
      </w:pPr>
    </w:p>
    <w:p w:rsidR="00F77245" w:rsidRDefault="00F77245">
      <w:pPr>
        <w:pStyle w:val="a9"/>
        <w:rPr>
          <w:sz w:val="22"/>
          <w:szCs w:val="22"/>
        </w:rPr>
      </w:pPr>
    </w:p>
    <w:p w:rsidR="00F77245" w:rsidRDefault="00DB4114">
      <w:pPr>
        <w:pStyle w:val="a9"/>
        <w:rPr>
          <w:szCs w:val="28"/>
        </w:rPr>
      </w:pPr>
      <w:r>
        <w:rPr>
          <w:szCs w:val="28"/>
        </w:rPr>
        <w:t>АДМИНИСТРАЦИЯ</w:t>
      </w:r>
    </w:p>
    <w:p w:rsidR="00F77245" w:rsidRDefault="00DB4114">
      <w:pPr>
        <w:pStyle w:val="a9"/>
        <w:rPr>
          <w:szCs w:val="28"/>
        </w:rPr>
      </w:pPr>
      <w:r>
        <w:rPr>
          <w:szCs w:val="28"/>
        </w:rPr>
        <w:t>ПРОВИДЕНСКОГО ГОРОДСКОГО ОКРУГА</w:t>
      </w:r>
    </w:p>
    <w:p w:rsidR="00F77245" w:rsidRDefault="00F77245">
      <w:pPr>
        <w:jc w:val="center"/>
        <w:rPr>
          <w:b/>
          <w:sz w:val="28"/>
          <w:szCs w:val="28"/>
        </w:rPr>
      </w:pPr>
    </w:p>
    <w:p w:rsidR="00F77245" w:rsidRDefault="00DB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77245" w:rsidRDefault="00F77245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13"/>
        <w:gridCol w:w="3104"/>
        <w:gridCol w:w="3137"/>
      </w:tblGrid>
      <w:tr w:rsidR="00F77245" w:rsidTr="00CD758E">
        <w:tc>
          <w:tcPr>
            <w:tcW w:w="3113" w:type="dxa"/>
            <w:shd w:val="clear" w:color="auto" w:fill="auto"/>
          </w:tcPr>
          <w:p w:rsidR="00F77245" w:rsidRDefault="00DB4114" w:rsidP="00BF5284">
            <w:pPr>
              <w:rPr>
                <w:szCs w:val="20"/>
              </w:rPr>
            </w:pPr>
            <w:r>
              <w:rPr>
                <w:szCs w:val="20"/>
              </w:rPr>
              <w:t xml:space="preserve">от </w:t>
            </w:r>
            <w:r w:rsidR="00BF5284">
              <w:rPr>
                <w:szCs w:val="20"/>
              </w:rPr>
              <w:t xml:space="preserve">08 июля </w:t>
            </w:r>
            <w:r>
              <w:rPr>
                <w:szCs w:val="20"/>
              </w:rPr>
              <w:t>2021 г.</w:t>
            </w:r>
          </w:p>
        </w:tc>
        <w:tc>
          <w:tcPr>
            <w:tcW w:w="3104" w:type="dxa"/>
            <w:shd w:val="clear" w:color="auto" w:fill="auto"/>
          </w:tcPr>
          <w:p w:rsidR="00F77245" w:rsidRDefault="00DB41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r w:rsidR="00086912">
              <w:rPr>
                <w:szCs w:val="20"/>
              </w:rPr>
              <w:t>271</w:t>
            </w:r>
          </w:p>
        </w:tc>
        <w:tc>
          <w:tcPr>
            <w:tcW w:w="3137" w:type="dxa"/>
            <w:shd w:val="clear" w:color="auto" w:fill="auto"/>
          </w:tcPr>
          <w:p w:rsidR="00F77245" w:rsidRDefault="00DB4114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пгт. Провидения</w:t>
            </w:r>
          </w:p>
        </w:tc>
      </w:tr>
    </w:tbl>
    <w:p w:rsidR="00F77245" w:rsidRDefault="00F77245">
      <w:pPr>
        <w:rPr>
          <w:szCs w:val="20"/>
        </w:rPr>
      </w:pPr>
    </w:p>
    <w:p w:rsidR="00F77245" w:rsidRDefault="00DB4114">
      <w:pPr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«Развитие транспортной инфраструктуры Провиденского городского округа в 2021-2023 годах»</w:t>
      </w:r>
    </w:p>
    <w:p w:rsidR="00F77245" w:rsidRDefault="00F77245">
      <w:pPr>
        <w:jc w:val="both"/>
        <w:rPr>
          <w:sz w:val="28"/>
          <w:szCs w:val="28"/>
        </w:rPr>
      </w:pPr>
    </w:p>
    <w:p w:rsidR="00F77245" w:rsidRDefault="00DB4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Провиденского муниципального района от 22.11.2013 года № 197 «Об утверждении Порядка разработки, реализации и оценки эффективности муниципальных программ Провиденского муниципального района», Администрация Провиденского городского округа</w:t>
      </w:r>
    </w:p>
    <w:p w:rsidR="00F77245" w:rsidRDefault="00F77245">
      <w:pPr>
        <w:jc w:val="both"/>
        <w:rPr>
          <w:sz w:val="28"/>
          <w:szCs w:val="28"/>
        </w:rPr>
      </w:pPr>
    </w:p>
    <w:p w:rsidR="00F77245" w:rsidRDefault="00DB41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77245" w:rsidRDefault="00F77245">
      <w:pPr>
        <w:jc w:val="both"/>
        <w:rPr>
          <w:sz w:val="28"/>
          <w:szCs w:val="28"/>
        </w:rPr>
      </w:pPr>
    </w:p>
    <w:p w:rsidR="00F77245" w:rsidRDefault="00DB41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1.</w:t>
      </w:r>
      <w:r>
        <w:rPr>
          <w:sz w:val="28"/>
          <w:szCs w:val="28"/>
        </w:rPr>
        <w:tab/>
        <w:t>Утвердить Муниципальную программу «Развитие транспортной инфраструктуры Провиденского городского округа в 2021-2023 годах» согласно приложению.</w:t>
      </w:r>
    </w:p>
    <w:p w:rsidR="00F77245" w:rsidRDefault="00DB41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  <w:szCs w:val="28"/>
        </w:rPr>
        <w:tab/>
        <w:t>Настоящее постановление вступает в силу с 17 июня 2021 года.</w:t>
      </w:r>
    </w:p>
    <w:p w:rsidR="00F77245" w:rsidRDefault="00DB4114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  <w:t>Настоящее постановление обнародовать на официальном сайте администрации Провиденского городского округа.</w:t>
      </w:r>
    </w:p>
    <w:p w:rsidR="00F77245" w:rsidRDefault="00DB4114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>
        <w:rPr>
          <w:sz w:val="28"/>
          <w:szCs w:val="28"/>
        </w:rPr>
        <w:tab/>
        <w:t>Контроль за исполнением настоящего постановления возложить на Управление промышленной политики, сельского хозяйства, продовольствия и торговли Администрации Провиденского городского округа (Парамонова В.В.).</w:t>
      </w:r>
    </w:p>
    <w:p w:rsidR="00F77245" w:rsidRDefault="00F77245">
      <w:pPr>
        <w:rPr>
          <w:szCs w:val="20"/>
        </w:rPr>
      </w:pPr>
    </w:p>
    <w:p w:rsidR="00F77245" w:rsidRDefault="00F77245">
      <w:pPr>
        <w:rPr>
          <w:szCs w:val="20"/>
        </w:rPr>
      </w:pPr>
    </w:p>
    <w:p w:rsidR="00CD758E" w:rsidRDefault="00CD758E">
      <w:pPr>
        <w:rPr>
          <w:szCs w:val="20"/>
        </w:rPr>
      </w:pPr>
    </w:p>
    <w:p w:rsidR="00F77245" w:rsidRDefault="00F77245">
      <w:pPr>
        <w:rPr>
          <w:szCs w:val="20"/>
        </w:rPr>
      </w:pPr>
    </w:p>
    <w:p w:rsidR="00F77245" w:rsidRDefault="00DB4114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И.о.главы администрации</w:t>
      </w:r>
      <w:r>
        <w:rPr>
          <w:sz w:val="28"/>
          <w:szCs w:val="28"/>
        </w:rPr>
        <w:tab/>
        <w:t>Е.В.Подлесный</w:t>
      </w:r>
    </w:p>
    <w:p w:rsidR="00F77245" w:rsidRDefault="00F7724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F77245" w:rsidRDefault="00F7724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F77245" w:rsidRDefault="00F7724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CD758E" w:rsidRDefault="00CD758E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F77245" w:rsidRDefault="00F7724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p w:rsidR="00F77245" w:rsidRDefault="00F77245">
      <w:pPr>
        <w:shd w:val="clear" w:color="auto" w:fill="FFFFFF"/>
        <w:tabs>
          <w:tab w:val="left" w:leader="dot" w:pos="-4962"/>
          <w:tab w:val="left" w:pos="5670"/>
        </w:tabs>
        <w:spacing w:line="317" w:lineRule="exact"/>
        <w:rPr>
          <w:spacing w:val="-4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6"/>
        <w:gridCol w:w="4928"/>
      </w:tblGrid>
      <w:tr w:rsidR="00F77245">
        <w:tc>
          <w:tcPr>
            <w:tcW w:w="4926" w:type="dxa"/>
          </w:tcPr>
          <w:p w:rsidR="00F77245" w:rsidRDefault="00F77245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F77245" w:rsidRDefault="00F7724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928" w:type="dxa"/>
          </w:tcPr>
          <w:p w:rsidR="00F77245" w:rsidRDefault="00F77245">
            <w:pPr>
              <w:rPr>
                <w:sz w:val="26"/>
                <w:szCs w:val="26"/>
              </w:rPr>
            </w:pPr>
          </w:p>
          <w:p w:rsidR="00F77245" w:rsidRDefault="00DB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к </w:t>
            </w:r>
          </w:p>
          <w:p w:rsidR="00F77245" w:rsidRDefault="00DB41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Постановлению администрации Провиденского городского округа </w:t>
            </w:r>
          </w:p>
          <w:p w:rsidR="00F77245" w:rsidRDefault="00DB4114" w:rsidP="00CD758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t xml:space="preserve">от 2021 года </w:t>
            </w:r>
            <w:r>
              <w:rPr>
                <w:sz w:val="26"/>
                <w:szCs w:val="26"/>
              </w:rPr>
              <w:t xml:space="preserve">№ </w:t>
            </w:r>
            <w:r w:rsidR="00451D11">
              <w:rPr>
                <w:sz w:val="26"/>
                <w:szCs w:val="26"/>
              </w:rPr>
              <w:t>271</w:t>
            </w:r>
            <w:bookmarkStart w:id="0" w:name="_GoBack"/>
            <w:bookmarkEnd w:id="0"/>
          </w:p>
        </w:tc>
      </w:tr>
    </w:tbl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DB4114">
      <w:pPr>
        <w:spacing w:line="320" w:lineRule="exact"/>
        <w:ind w:right="-1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МУНИЦИПАЛЬНАЯ</w:t>
      </w:r>
    </w:p>
    <w:p w:rsidR="00F77245" w:rsidRDefault="00DB4114">
      <w:pPr>
        <w:spacing w:after="120" w:line="320" w:lineRule="exact"/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ПРОГРАММА</w:t>
      </w:r>
    </w:p>
    <w:p w:rsidR="00F77245" w:rsidRDefault="00DB4114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транспортной инфраструктуры Провиденского городского округа в 2021- 2023 годах</w:t>
      </w:r>
      <w:r>
        <w:rPr>
          <w:b/>
          <w:sz w:val="28"/>
          <w:szCs w:val="28"/>
        </w:rPr>
        <w:t>»</w:t>
      </w:r>
    </w:p>
    <w:p w:rsidR="00F77245" w:rsidRDefault="00F77245">
      <w:pPr>
        <w:spacing w:after="120" w:line="320" w:lineRule="exact"/>
        <w:jc w:val="center"/>
        <w:rPr>
          <w:spacing w:val="100"/>
          <w:sz w:val="28"/>
          <w:szCs w:val="28"/>
        </w:rPr>
      </w:pPr>
    </w:p>
    <w:p w:rsidR="00F77245" w:rsidRDefault="00F77245">
      <w:pPr>
        <w:spacing w:after="120" w:line="320" w:lineRule="exact"/>
        <w:jc w:val="center"/>
        <w:rPr>
          <w:spacing w:val="100"/>
          <w:sz w:val="28"/>
          <w:szCs w:val="28"/>
        </w:rPr>
      </w:pPr>
    </w:p>
    <w:p w:rsidR="00F77245" w:rsidRDefault="00F77245">
      <w:pPr>
        <w:spacing w:after="120" w:line="320" w:lineRule="exact"/>
        <w:jc w:val="center"/>
        <w:rPr>
          <w:spacing w:val="100"/>
          <w:sz w:val="28"/>
          <w:szCs w:val="28"/>
        </w:rPr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086912" w:rsidRDefault="00086912">
      <w:pPr>
        <w:spacing w:line="320" w:lineRule="exact"/>
        <w:ind w:right="-1"/>
        <w:jc w:val="center"/>
        <w:rPr>
          <w:sz w:val="28"/>
          <w:szCs w:val="28"/>
        </w:rPr>
      </w:pPr>
    </w:p>
    <w:p w:rsidR="00086912" w:rsidRDefault="00086912">
      <w:pPr>
        <w:spacing w:line="320" w:lineRule="exact"/>
        <w:ind w:right="-1"/>
        <w:jc w:val="center"/>
        <w:rPr>
          <w:sz w:val="28"/>
          <w:szCs w:val="28"/>
        </w:rPr>
      </w:pPr>
    </w:p>
    <w:p w:rsidR="00086912" w:rsidRDefault="00086912">
      <w:pPr>
        <w:spacing w:line="320" w:lineRule="exact"/>
        <w:ind w:right="-1"/>
        <w:jc w:val="center"/>
        <w:rPr>
          <w:sz w:val="28"/>
          <w:szCs w:val="28"/>
        </w:rPr>
      </w:pPr>
    </w:p>
    <w:p w:rsidR="00086912" w:rsidRDefault="00086912">
      <w:pPr>
        <w:spacing w:line="320" w:lineRule="exact"/>
        <w:ind w:right="-1"/>
        <w:jc w:val="center"/>
        <w:rPr>
          <w:sz w:val="28"/>
          <w:szCs w:val="28"/>
        </w:rPr>
      </w:pPr>
    </w:p>
    <w:p w:rsidR="00086912" w:rsidRDefault="00086912">
      <w:pPr>
        <w:spacing w:line="320" w:lineRule="exact"/>
        <w:ind w:right="-1"/>
        <w:jc w:val="center"/>
        <w:rPr>
          <w:sz w:val="28"/>
          <w:szCs w:val="28"/>
        </w:rPr>
      </w:pPr>
    </w:p>
    <w:p w:rsidR="00086912" w:rsidRDefault="00086912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jc w:val="center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rPr>
          <w:sz w:val="28"/>
          <w:szCs w:val="28"/>
        </w:rPr>
      </w:pPr>
    </w:p>
    <w:p w:rsidR="00F77245" w:rsidRDefault="00F77245">
      <w:pPr>
        <w:spacing w:line="320" w:lineRule="exact"/>
        <w:ind w:right="-1"/>
        <w:rPr>
          <w:sz w:val="28"/>
          <w:szCs w:val="28"/>
        </w:rPr>
      </w:pPr>
    </w:p>
    <w:p w:rsidR="00F77245" w:rsidRDefault="00DB4114">
      <w:pPr>
        <w:spacing w:line="32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пгт. Провидения 2021г.</w:t>
      </w:r>
    </w:p>
    <w:p w:rsidR="00F77245" w:rsidRDefault="00DB4114">
      <w:pPr>
        <w:spacing w:line="320" w:lineRule="exact"/>
        <w:ind w:right="-1"/>
        <w:jc w:val="center"/>
        <w:rPr>
          <w:b/>
          <w:spacing w:val="2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pacing w:val="20"/>
          <w:sz w:val="28"/>
          <w:szCs w:val="28"/>
        </w:rPr>
        <w:lastRenderedPageBreak/>
        <w:t>ПАСПОРТ</w:t>
      </w:r>
    </w:p>
    <w:p w:rsidR="00F77245" w:rsidRDefault="00DB411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Муниципальной  программы</w:t>
      </w:r>
    </w:p>
    <w:p w:rsidR="00F77245" w:rsidRDefault="00DB411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транспортной инфраструктуры Провиденского городского округа в 2021-2023</w:t>
      </w:r>
      <w:r>
        <w:rPr>
          <w:b/>
        </w:rPr>
        <w:t xml:space="preserve"> годах</w:t>
      </w:r>
      <w:r>
        <w:rPr>
          <w:b/>
          <w:sz w:val="28"/>
          <w:szCs w:val="28"/>
        </w:rPr>
        <w:t>»</w:t>
      </w:r>
    </w:p>
    <w:p w:rsidR="00F77245" w:rsidRDefault="00DB41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программа)</w:t>
      </w:r>
    </w:p>
    <w:p w:rsidR="00F77245" w:rsidRDefault="00F77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946"/>
      </w:tblGrid>
      <w:tr w:rsidR="00F77245">
        <w:trPr>
          <w:trHeight w:val="60"/>
        </w:trPr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1100"/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F77245" w:rsidRDefault="00DB4114">
            <w:pPr>
              <w:pStyle w:val="Style19"/>
              <w:widowControl/>
              <w:tabs>
                <w:tab w:val="left" w:pos="3195"/>
              </w:tabs>
              <w:spacing w:before="40" w:after="40" w:line="240" w:lineRule="auto"/>
              <w:ind w:left="-108" w:right="-109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t>Муниципальная программа «Развитие транспортной инфраструктуры Провиденского городского округа в 2021-2023 годах»</w:t>
            </w:r>
          </w:p>
        </w:tc>
      </w:tr>
      <w:tr w:rsidR="00F77245">
        <w:trPr>
          <w:trHeight w:val="60"/>
        </w:trPr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6946" w:type="dxa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Провиденского городского округа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Разработчики</w:t>
            </w:r>
          </w:p>
        </w:tc>
        <w:tc>
          <w:tcPr>
            <w:tcW w:w="6946" w:type="dxa"/>
          </w:tcPr>
          <w:p w:rsidR="00F77245" w:rsidRDefault="002375D7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B4114"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>Администрация Провиденского городского округа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Ответственный исполнитель</w:t>
            </w:r>
          </w:p>
        </w:tc>
        <w:tc>
          <w:tcPr>
            <w:tcW w:w="6946" w:type="dxa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Администрация Провиденского городского округа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b/>
                <w:bCs/>
              </w:rPr>
            </w:pPr>
            <w:r>
              <w:rPr>
                <w:b/>
              </w:rPr>
              <w:t>Участники Муниципальной Программы</w:t>
            </w:r>
          </w:p>
        </w:tc>
        <w:tc>
          <w:tcPr>
            <w:tcW w:w="6946" w:type="dxa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М</w:t>
            </w:r>
            <w:r>
              <w:rPr>
                <w:szCs w:val="28"/>
              </w:rPr>
              <w:t>униципальное бюджетное учреждение «Дорожно-транспортное хозяйство» Провиденского городского округа.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b/>
              </w:rPr>
            </w:pPr>
            <w:r>
              <w:rPr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6946" w:type="dxa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 Отсутствуют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F77245" w:rsidRDefault="00DB41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Создание условий для реализации муниципальным бюджетным учреждением «Дорожно-транспортное хозяйство» Провиденского городского округа установленных функций в сфере дорожного хозяйства.</w:t>
            </w:r>
          </w:p>
          <w:p w:rsidR="00F77245" w:rsidRDefault="00F77245">
            <w:pPr>
              <w:ind w:left="-108" w:right="-108"/>
              <w:jc w:val="both"/>
              <w:rPr>
                <w:szCs w:val="28"/>
              </w:rPr>
            </w:pPr>
          </w:p>
        </w:tc>
      </w:tr>
      <w:tr w:rsidR="00F77245">
        <w:trPr>
          <w:trHeight w:val="60"/>
        </w:trPr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946" w:type="dxa"/>
          </w:tcPr>
          <w:p w:rsidR="00F77245" w:rsidRDefault="00DB4114" w:rsidP="008B030D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реализации муниципальным бюджетным учреждением «Дорожно-транспортное хозяйство» Провиденского городского округа установленных функций городского округа муниципальных функций в сфере дорожного хозяйства и предоставление муниципальных услуг</w:t>
            </w:r>
          </w:p>
          <w:p w:rsidR="00F77245" w:rsidRDefault="00DB4114">
            <w:pPr>
              <w:ind w:left="-108" w:right="-108"/>
              <w:jc w:val="both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Целевые индикаторы (показатели) Муниципальной программы</w:t>
            </w:r>
          </w:p>
        </w:tc>
        <w:tc>
          <w:tcPr>
            <w:tcW w:w="6946" w:type="dxa"/>
          </w:tcPr>
          <w:p w:rsidR="00F77245" w:rsidRDefault="00DB4114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.О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бъем просроченной задолженности по страховым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взносам в государственные внебюджетные фонды, налогам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 сборам в бюджеты всех уровней у </w:t>
            </w:r>
            <w:r>
              <w:t>муниципального бюджетного учреждения «Дорожно-транспортное хозяйство» Провиденского городского округа;</w:t>
            </w:r>
          </w:p>
          <w:p w:rsidR="00F77245" w:rsidRDefault="00DB4114">
            <w:pPr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объем просроченной задолженности по выплате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заработной платы работникам </w:t>
            </w:r>
            <w:r>
              <w:t>муниципального бюджетного учреждения «Дорожно-транспортное хозяйство» Провиденского городского округа;</w:t>
            </w:r>
          </w:p>
          <w:p w:rsidR="00F77245" w:rsidRDefault="00DB4114">
            <w:pPr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объем просроченной задолженности по лизинговым платежам </w:t>
            </w:r>
            <w:r>
              <w:t>муниципального бюджетного учреждения «Дорожно-транспортное хозяйство» Провиденского городского округа;</w:t>
            </w:r>
          </w:p>
          <w:p w:rsidR="00F77245" w:rsidRDefault="00DB4114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процент выполнения муниципальных услуг,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предусмотренных муниципальным заданием для</w:t>
            </w:r>
            <w:r>
              <w:t xml:space="preserve"> муниципального бюджетного учреждения «Дорожно-транспортное хозяйство» Провиденского городского округа;</w:t>
            </w:r>
          </w:p>
          <w:p w:rsidR="00F77245" w:rsidRDefault="00DB4114">
            <w:pPr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количество закупленной техники, необходимой для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содержания и обслуживания дорог местного значения Провиденского городского округа;</w:t>
            </w:r>
          </w:p>
          <w:p w:rsidR="00F77245" w:rsidRDefault="00DB4114" w:rsidP="00CD758E">
            <w:pP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6.количество объектов местного значения, на которых выполнены восстановительно-ремонтные работы</w:t>
            </w:r>
            <w:r w:rsidR="00CD758E">
              <w:t>.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и этапы реализации</w:t>
            </w:r>
          </w:p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F77245" w:rsidRDefault="00DB4114" w:rsidP="008B030D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right="-109"/>
              <w:jc w:val="left"/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Cs/>
                <w:sz w:val="24"/>
                <w:szCs w:val="24"/>
              </w:rPr>
              <w:t xml:space="preserve">2021 – 2023 годы (без разделения на этапы) </w:t>
            </w:r>
          </w:p>
        </w:tc>
      </w:tr>
      <w:tr w:rsidR="00F77245">
        <w:trPr>
          <w:trHeight w:val="1409"/>
        </w:trPr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и источники</w:t>
            </w:r>
          </w:p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6946" w:type="dxa"/>
          </w:tcPr>
          <w:p w:rsidR="00F77245" w:rsidRDefault="00DB4114" w:rsidP="008B030D">
            <w:pPr>
              <w:pStyle w:val="ad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Объем финансирования программы составляет всего 155 439,4</w:t>
            </w:r>
            <w:r w:rsidR="00CD758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тыс. рублей, в том числе по годам:</w:t>
            </w:r>
          </w:p>
          <w:p w:rsidR="00F77245" w:rsidRDefault="00DB4114" w:rsidP="008B030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8"/>
              </w:rPr>
            </w:pPr>
            <w:r>
              <w:rPr>
                <w:szCs w:val="28"/>
              </w:rPr>
              <w:t>2021 год – 67 667,2 тыс. рублей;</w:t>
            </w:r>
          </w:p>
          <w:p w:rsidR="00F77245" w:rsidRDefault="00DB4114" w:rsidP="008B030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szCs w:val="28"/>
              </w:rPr>
            </w:pPr>
            <w:r>
              <w:rPr>
                <w:szCs w:val="28"/>
              </w:rPr>
              <w:t>2022 год – 43 886,1 тыс. рублей;</w:t>
            </w:r>
          </w:p>
          <w:p w:rsidR="00F77245" w:rsidRDefault="00DB4114" w:rsidP="008B030D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rStyle w:val="FontStyle34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Cs w:val="28"/>
              </w:rPr>
              <w:t>2023 год – 43 886,1 тыс. рублей;</w:t>
            </w:r>
          </w:p>
        </w:tc>
      </w:tr>
      <w:tr w:rsidR="00F77245">
        <w:tc>
          <w:tcPr>
            <w:tcW w:w="2410" w:type="dxa"/>
            <w:vAlign w:val="center"/>
          </w:tcPr>
          <w:p w:rsidR="00F77245" w:rsidRDefault="00DB4114">
            <w:pPr>
              <w:pStyle w:val="Style19"/>
              <w:widowControl/>
              <w:tabs>
                <w:tab w:val="left" w:pos="2941"/>
              </w:tabs>
              <w:spacing w:before="40" w:after="40" w:line="240" w:lineRule="auto"/>
              <w:ind w:left="-108" w:right="-141"/>
              <w:jc w:val="center"/>
              <w:rPr>
                <w:rStyle w:val="FontStyle3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</w:rPr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:rsidR="00F77245" w:rsidRDefault="00DB4114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Реализация </w:t>
            </w:r>
            <w:r>
              <w:t xml:space="preserve">муниципальным бюджетным учреждением «Дорожно-транспортное хозяйство» Провиденского городского округа установленных муниципальных функций 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в сфере дорожного хозяйства и предоставление муниципальных услуг;</w:t>
            </w:r>
          </w:p>
          <w:p w:rsidR="00F77245" w:rsidRDefault="00DB4114">
            <w:pPr>
              <w:jc w:val="both"/>
              <w:rPr>
                <w:rStyle w:val="fontstyle01"/>
                <w:sz w:val="24"/>
                <w:szCs w:val="24"/>
              </w:rPr>
            </w:pP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приобретение специализированной техники, необходимой для содержания и обслуживания автомобильных дорог местного значения.</w:t>
            </w:r>
          </w:p>
          <w:p w:rsidR="00F77245" w:rsidRDefault="00F77245">
            <w:pPr>
              <w:jc w:val="both"/>
            </w:pPr>
          </w:p>
          <w:p w:rsidR="00F77245" w:rsidRDefault="00DB4114" w:rsidP="008B030D">
            <w:pPr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.</w:t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выполнение ремонтно-восстановительных работ объектов  местного значения.</w:t>
            </w:r>
          </w:p>
        </w:tc>
      </w:tr>
    </w:tbl>
    <w:p w:rsidR="00F77245" w:rsidRDefault="00F77245">
      <w:pPr>
        <w:pStyle w:val="2"/>
        <w:tabs>
          <w:tab w:val="left" w:pos="284"/>
          <w:tab w:val="left" w:pos="426"/>
        </w:tabs>
        <w:spacing w:after="240"/>
        <w:ind w:firstLine="0"/>
        <w:jc w:val="center"/>
        <w:rPr>
          <w:b/>
          <w:szCs w:val="28"/>
        </w:rPr>
      </w:pPr>
    </w:p>
    <w:p w:rsidR="00F77245" w:rsidRDefault="00DB4114">
      <w:pPr>
        <w:pStyle w:val="2"/>
        <w:tabs>
          <w:tab w:val="left" w:pos="284"/>
          <w:tab w:val="left" w:pos="426"/>
        </w:tabs>
        <w:ind w:firstLine="0"/>
        <w:jc w:val="center"/>
        <w:rPr>
          <w:b/>
          <w:sz w:val="28"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  <w:lang w:val="en-US"/>
        </w:rPr>
        <w:lastRenderedPageBreak/>
        <w:t>I</w:t>
      </w:r>
      <w:r>
        <w:rPr>
          <w:b/>
          <w:szCs w:val="28"/>
        </w:rPr>
        <w:t xml:space="preserve">. </w:t>
      </w:r>
      <w:r>
        <w:rPr>
          <w:b/>
          <w:sz w:val="28"/>
          <w:szCs w:val="28"/>
        </w:rPr>
        <w:t xml:space="preserve">Характеристика текущего состояния финансов Провиденского городского округа </w:t>
      </w:r>
    </w:p>
    <w:bookmarkEnd w:id="1"/>
    <w:p w:rsidR="00F77245" w:rsidRDefault="00DB4114">
      <w:pPr>
        <w:pStyle w:val="2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Провиденского городского округа организовано регулярное автобусное пассажирское сообщение по утвержденным маршрутам. В условиях Крайнего Севера доступность общественного транспорта имеет важное социальное значение.</w:t>
      </w:r>
    </w:p>
    <w:p w:rsidR="00F77245" w:rsidRDefault="00DB4114">
      <w:pPr>
        <w:pStyle w:val="2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бесплатного проезда населения транспортом общего пользования позволяют поддерживать доступность для населения Провиденского городского округа услуг транспорта общего пользования.</w:t>
      </w:r>
    </w:p>
    <w:p w:rsidR="00F77245" w:rsidRDefault="00DB4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транспортной инфраструктуры и обеспечение сохранности автомобильных дорог местного значения на территории Провиденского городского округа и улучшение материально-технического состояния учреждения, осуществляющего деятельность по содержанию и обслуживанию объектов дорожного хозяйства в Провиденском городском округе.</w:t>
      </w:r>
    </w:p>
    <w:p w:rsidR="00F77245" w:rsidRDefault="00DB4114">
      <w:pPr>
        <w:pStyle w:val="2"/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средств на расходы, связанных с исполнением программы, установлен Решением Совета депутатов на очередной финансовый год. </w:t>
      </w:r>
    </w:p>
    <w:p w:rsidR="00F77245" w:rsidRDefault="00DB41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.Основные цели и задачи Муниципальной программы</w:t>
      </w:r>
    </w:p>
    <w:p w:rsidR="00F77245" w:rsidRDefault="00DB4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настоящей программы является обеспечение устойчивого  функционирования бюджетного учреждения, улучшение материально-технического состояния бюджетного учреждения, осуществляющего деятельность по содержанию и обслуживанию объектов дорожного хозяйства в Провиденском городском округе. Обеспечение доступности услуг наземного автомобильного транспорта для населения, реализация полномочий Провиденского городского округа по организации транспортного обслуживания населения.</w:t>
      </w:r>
    </w:p>
    <w:p w:rsidR="00F77245" w:rsidRDefault="00DB41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Сроки и этапы реализации Муниципальной программы</w:t>
      </w:r>
    </w:p>
    <w:p w:rsidR="00F77245" w:rsidRDefault="00DB4114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рассчитана на 2021-2023 годы (без разделения на этапы).</w:t>
      </w:r>
    </w:p>
    <w:p w:rsidR="00F77245" w:rsidRDefault="00DB411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IV. Механизм реализации Муниципальной программы</w:t>
      </w:r>
    </w:p>
    <w:p w:rsidR="00F77245" w:rsidRDefault="00DB4114">
      <w:pPr>
        <w:pStyle w:val="2"/>
        <w:tabs>
          <w:tab w:val="left" w:pos="284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 реализации мероприятий Муниципальной программы осуществляется в соответствии со сводной бюджетной росписью бюджета Провиденского городского округа, объемом финансирования и порядком исполнения бюджета Провиденского городского округа по расходам посредством предоставления муниципальному бюджетному учреждением «Дорожно-транспортное хозяйство» Провиденского городского округа субсидии на муниципальное задание, субсидии на иные цели. </w:t>
      </w:r>
    </w:p>
    <w:p w:rsidR="00F77245" w:rsidRDefault="00DB41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основан на обеспечении достижения запланированных результатов, установленных в целевых индикаторах.</w:t>
      </w:r>
    </w:p>
    <w:p w:rsidR="00F77245" w:rsidRDefault="00DB4114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 Ресурсное обеспечение Муниципальной программы</w:t>
      </w:r>
    </w:p>
    <w:p w:rsidR="00F77245" w:rsidRDefault="00DB4114">
      <w:pPr>
        <w:pStyle w:val="1"/>
        <w:spacing w:before="0"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Расходы бюджета городского округа на выполнение мероприятий программы составляют 155 439,4 тыс. рублей, в том числе по годам</w:t>
      </w:r>
      <w:r>
        <w:rPr>
          <w:rFonts w:ascii="Times New Roman" w:hAnsi="Times New Roman"/>
          <w:sz w:val="28"/>
          <w:szCs w:val="28"/>
        </w:rPr>
        <w:t>:</w:t>
      </w:r>
    </w:p>
    <w:p w:rsidR="00F77245" w:rsidRDefault="00DB4114">
      <w:pPr>
        <w:widowControl w:val="0"/>
        <w:autoSpaceDE w:val="0"/>
        <w:autoSpaceDN w:val="0"/>
        <w:adjustRightInd w:val="0"/>
        <w:ind w:left="360" w:right="-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год </w:t>
      </w:r>
      <w:r>
        <w:t>– 67 667,2</w:t>
      </w:r>
      <w:r>
        <w:rPr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F77245" w:rsidRDefault="00DB4114">
      <w:pPr>
        <w:widowControl w:val="0"/>
        <w:autoSpaceDE w:val="0"/>
        <w:autoSpaceDN w:val="0"/>
        <w:adjustRightInd w:val="0"/>
        <w:ind w:left="360" w:right="-20"/>
        <w:jc w:val="center"/>
        <w:rPr>
          <w:sz w:val="28"/>
          <w:szCs w:val="28"/>
        </w:rPr>
      </w:pPr>
      <w:r>
        <w:rPr>
          <w:sz w:val="28"/>
          <w:szCs w:val="28"/>
        </w:rPr>
        <w:t>2022 год – 43 886,1 тыс. рублей;</w:t>
      </w:r>
    </w:p>
    <w:p w:rsidR="00F77245" w:rsidRDefault="00DB4114">
      <w:pPr>
        <w:widowControl w:val="0"/>
        <w:autoSpaceDE w:val="0"/>
        <w:autoSpaceDN w:val="0"/>
        <w:adjustRightInd w:val="0"/>
        <w:ind w:left="360" w:right="-20"/>
        <w:jc w:val="center"/>
        <w:rPr>
          <w:sz w:val="28"/>
          <w:szCs w:val="28"/>
        </w:rPr>
      </w:pPr>
      <w:r>
        <w:rPr>
          <w:sz w:val="28"/>
          <w:szCs w:val="28"/>
        </w:rPr>
        <w:t>2023 год – 43 886,1 тыс. рублей;</w:t>
      </w:r>
    </w:p>
    <w:p w:rsidR="008670CA" w:rsidRDefault="008670CA">
      <w:pPr>
        <w:widowControl w:val="0"/>
        <w:autoSpaceDE w:val="0"/>
        <w:autoSpaceDN w:val="0"/>
        <w:adjustRightInd w:val="0"/>
        <w:ind w:left="360" w:right="-20"/>
        <w:jc w:val="center"/>
        <w:rPr>
          <w:sz w:val="28"/>
          <w:szCs w:val="28"/>
        </w:rPr>
      </w:pPr>
    </w:p>
    <w:p w:rsidR="00F77245" w:rsidRDefault="00DB4114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Объемы расходов на выполнение мероприятий программы ежегодно уточняются в процессе исполнения бюджета городского округа.</w:t>
      </w:r>
    </w:p>
    <w:p w:rsidR="00F77245" w:rsidRDefault="00DB411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VI. Перечень целевых индикаторов (показателей) </w:t>
      </w:r>
    </w:p>
    <w:p w:rsidR="00F77245" w:rsidRDefault="00DB411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</w:p>
    <w:p w:rsidR="00F77245" w:rsidRDefault="00F77245"/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992"/>
        <w:gridCol w:w="851"/>
        <w:gridCol w:w="993"/>
      </w:tblGrid>
      <w:tr w:rsidR="00F77245">
        <w:trPr>
          <w:trHeight w:val="60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Наименование целевого индикатора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Показатель</w:t>
            </w:r>
          </w:p>
        </w:tc>
      </w:tr>
      <w:tr w:rsidR="00F77245">
        <w:trPr>
          <w:trHeight w:val="195"/>
        </w:trPr>
        <w:tc>
          <w:tcPr>
            <w:tcW w:w="53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F77245">
            <w:pPr>
              <w:pStyle w:val="af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F77245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2023</w:t>
            </w:r>
          </w:p>
        </w:tc>
      </w:tr>
      <w:tr w:rsidR="00F77245">
        <w:trPr>
          <w:trHeight w:val="195"/>
        </w:trPr>
        <w:tc>
          <w:tcPr>
            <w:tcW w:w="5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F77245">
            <w:pPr>
              <w:pStyle w:val="af0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F77245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F77245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F77245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F77245">
            <w:pPr>
              <w:pStyle w:val="af0"/>
              <w:ind w:left="-108"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7724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5" w:rsidRDefault="00DB4114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1.Объем просроченной задолженности по страховым взносам в государственные внебюджетные фонды, налогам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и сборам в бюджеты всех уровней у </w:t>
            </w:r>
            <w:r>
              <w:t>муниципального бюджетного учреждения «Дорожно-транспортное хозяйство» Провиденского городского округа;</w:t>
            </w:r>
          </w:p>
          <w:p w:rsidR="00F77245" w:rsidRDefault="00F77245">
            <w:pPr>
              <w:pStyle w:val="af0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45" w:rsidRDefault="00DB4114">
            <w:r>
              <w:t>тыс. руб.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F7724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2.объем просроченной задолженности по выплате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заработной платы работникам </w:t>
            </w:r>
            <w:r>
              <w:t>муниципального бюджетного учреждения «Дорожно-транспортное хозяйство» Провиденского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245" w:rsidRDefault="00DB4114">
            <w: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724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3.объем просроченной задолженности по лизинговым платежам </w:t>
            </w:r>
            <w:r>
              <w:t>муниципального бюджетного учреждения «Дорожно-транспортное хозяйство» Провиденского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</w:pPr>
            <w:r>
              <w:t>тыс.руб.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F7724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jc w:val="both"/>
            </w:pP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4.процент выполнения муниципальных услуг,</w:t>
            </w:r>
            <w:r>
              <w:rPr>
                <w:color w:val="000000"/>
              </w:rPr>
              <w:br/>
            </w:r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предусмотренных муниципальным заданием для</w:t>
            </w:r>
            <w:r>
              <w:t xml:space="preserve"> муниципального бюджетного учреждения «Дорожно-транспортное хозяйство» Провиденского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</w:t>
            </w:r>
          </w:p>
        </w:tc>
      </w:tr>
      <w:tr w:rsidR="00F7724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Pr="00BF5284" w:rsidRDefault="00DB4114">
            <w:pPr>
              <w:jc w:val="both"/>
            </w:pPr>
            <w:r w:rsidRPr="00BF528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5.количество закупленной техники, необходимой для содержания и обслуживания </w:t>
            </w:r>
            <w:r w:rsidRPr="00BF5284">
              <w:rPr>
                <w:color w:val="000000"/>
              </w:rPr>
              <w:br/>
            </w:r>
            <w:r w:rsidRPr="00BF5284">
              <w:rPr>
                <w:rStyle w:val="fontstyle01"/>
                <w:rFonts w:ascii="Times New Roman" w:hAnsi="Times New Roman"/>
                <w:sz w:val="24"/>
                <w:szCs w:val="24"/>
              </w:rPr>
              <w:t xml:space="preserve">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Pr="00BF5284" w:rsidRDefault="00DB4114">
            <w:pPr>
              <w:jc w:val="center"/>
            </w:pPr>
            <w:r w:rsidRPr="00BF5284"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Pr="00BF5284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F528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</w:t>
            </w:r>
          </w:p>
        </w:tc>
      </w:tr>
      <w:tr w:rsidR="00F77245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r>
              <w:rPr>
                <w:rStyle w:val="fontstyle01"/>
                <w:rFonts w:ascii="Times New Roman" w:hAnsi="Times New Roman"/>
                <w:sz w:val="24"/>
                <w:szCs w:val="24"/>
              </w:rPr>
              <w:t>6.количество объектов местного значения, на которых выполнены ремонтно-восстановительные работы</w:t>
            </w:r>
          </w:p>
          <w:p w:rsidR="00F77245" w:rsidRDefault="00F77245">
            <w:pPr>
              <w:jc w:val="both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245" w:rsidRDefault="00DB4114">
            <w:pPr>
              <w:jc w:val="center"/>
            </w:pPr>
            <w:r>
              <w:t>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77245" w:rsidRDefault="00DB4114">
            <w:pPr>
              <w:pStyle w:val="af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</w:p>
        </w:tc>
      </w:tr>
    </w:tbl>
    <w:p w:rsidR="008670CA" w:rsidRDefault="008670CA">
      <w:pPr>
        <w:pStyle w:val="2"/>
        <w:tabs>
          <w:tab w:val="left" w:pos="284"/>
          <w:tab w:val="left" w:pos="426"/>
        </w:tabs>
        <w:ind w:firstLine="0"/>
        <w:jc w:val="both"/>
      </w:pPr>
    </w:p>
    <w:p w:rsidR="00F77245" w:rsidRDefault="00DB411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Ресурсное обеспечение муниципальной программы </w:t>
      </w:r>
    </w:p>
    <w:p w:rsidR="00F77245" w:rsidRDefault="00DB41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«Содержание объектов дорожного хозяйства в Провиденском городском округе на 2021-2023 годы»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73"/>
        <w:gridCol w:w="2484"/>
        <w:gridCol w:w="1769"/>
        <w:gridCol w:w="1559"/>
      </w:tblGrid>
      <w:tr w:rsidR="009D5DD4" w:rsidTr="00ED2DE7">
        <w:trPr>
          <w:trHeight w:val="45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D5DD4" w:rsidRDefault="009D5DD4">
            <w:pPr>
              <w:ind w:left="-112" w:right="-11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  <w:hideMark/>
          </w:tcPr>
          <w:p w:rsidR="009D5DD4" w:rsidRDefault="009D5D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направления, раздела, мероприятия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  <w:hideMark/>
          </w:tcPr>
          <w:p w:rsidR="009D5DD4" w:rsidRDefault="009D5D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Период реализации мероприятий (в том числе по годам)</w:t>
            </w:r>
          </w:p>
        </w:tc>
        <w:tc>
          <w:tcPr>
            <w:tcW w:w="3328" w:type="dxa"/>
            <w:gridSpan w:val="2"/>
          </w:tcPr>
          <w:p w:rsidR="009D5DD4" w:rsidRDefault="009D5D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Объем финансовых ресурсов, тыс. руб.</w:t>
            </w:r>
          </w:p>
        </w:tc>
      </w:tr>
      <w:tr w:rsidR="009D5DD4" w:rsidTr="00AF4113">
        <w:trPr>
          <w:trHeight w:val="457"/>
        </w:trPr>
        <w:tc>
          <w:tcPr>
            <w:tcW w:w="426" w:type="dxa"/>
            <w:vMerge/>
            <w:shd w:val="clear" w:color="auto" w:fill="auto"/>
            <w:vAlign w:val="center"/>
          </w:tcPr>
          <w:p w:rsidR="009D5DD4" w:rsidRDefault="009D5DD4">
            <w:pPr>
              <w:ind w:left="-112" w:right="-114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9D5DD4" w:rsidRDefault="009D5D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9D5DD4" w:rsidRDefault="009D5DD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69" w:type="dxa"/>
          </w:tcPr>
          <w:p w:rsidR="009D5DD4" w:rsidRDefault="009D5DD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559" w:type="dxa"/>
          </w:tcPr>
          <w:p w:rsidR="009D5DD4" w:rsidRPr="00B31F16" w:rsidRDefault="009D5DD4" w:rsidP="006812EA">
            <w:pPr>
              <w:jc w:val="center"/>
              <w:rPr>
                <w:color w:val="000000"/>
                <w:sz w:val="26"/>
                <w:szCs w:val="26"/>
              </w:rPr>
            </w:pPr>
            <w:r w:rsidRPr="00B31F16">
              <w:rPr>
                <w:color w:val="000000"/>
                <w:sz w:val="26"/>
                <w:szCs w:val="26"/>
              </w:rPr>
              <w:t>местн</w:t>
            </w:r>
            <w:r w:rsidR="006812EA">
              <w:rPr>
                <w:color w:val="000000"/>
                <w:sz w:val="26"/>
                <w:szCs w:val="26"/>
              </w:rPr>
              <w:t>ый</w:t>
            </w:r>
            <w:r w:rsidRPr="00B31F16">
              <w:rPr>
                <w:color w:val="000000"/>
                <w:sz w:val="26"/>
                <w:szCs w:val="26"/>
              </w:rPr>
              <w:t xml:space="preserve"> бюджет</w:t>
            </w:r>
          </w:p>
        </w:tc>
      </w:tr>
      <w:tr w:rsidR="008670CA" w:rsidTr="00AF4113">
        <w:trPr>
          <w:trHeight w:val="75"/>
        </w:trPr>
        <w:tc>
          <w:tcPr>
            <w:tcW w:w="426" w:type="dxa"/>
            <w:shd w:val="clear" w:color="auto" w:fill="auto"/>
            <w:vAlign w:val="center"/>
            <w:hideMark/>
          </w:tcPr>
          <w:p w:rsidR="008670CA" w:rsidRDefault="008670CA">
            <w:pPr>
              <w:ind w:left="-112" w:right="-1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573" w:type="dxa"/>
            <w:shd w:val="clear" w:color="auto" w:fill="auto"/>
            <w:vAlign w:val="center"/>
            <w:hideMark/>
          </w:tcPr>
          <w:p w:rsidR="008670CA" w:rsidRDefault="008670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8670CA" w:rsidRDefault="008670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670CA" w:rsidRDefault="008670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0CA" w:rsidRDefault="008B030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8670CA" w:rsidTr="00AF4113">
        <w:trPr>
          <w:trHeight w:val="75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670CA" w:rsidRDefault="008670CA">
            <w:pPr>
              <w:ind w:left="-112" w:right="-19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  <w:r w:rsidRPr="008670CA">
              <w:rPr>
                <w:b/>
                <w:bCs/>
                <w:color w:val="000000"/>
              </w:rPr>
              <w:t>Всего по Программе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8670CA" w:rsidRPr="008670CA" w:rsidRDefault="008670CA">
            <w:pPr>
              <w:jc w:val="right"/>
              <w:rPr>
                <w:b/>
                <w:bCs/>
              </w:rPr>
            </w:pPr>
            <w:r w:rsidRPr="008670CA">
              <w:rPr>
                <w:b/>
                <w:bCs/>
              </w:rPr>
              <w:t>155 439,4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CA" w:rsidRPr="008670CA" w:rsidRDefault="008670CA">
            <w:pPr>
              <w:jc w:val="right"/>
              <w:rPr>
                <w:b/>
                <w:bCs/>
              </w:rPr>
            </w:pPr>
            <w:r w:rsidRPr="008670CA">
              <w:rPr>
                <w:b/>
                <w:bCs/>
              </w:rPr>
              <w:t>155 439,4</w:t>
            </w:r>
          </w:p>
        </w:tc>
      </w:tr>
      <w:tr w:rsidR="008670CA" w:rsidTr="00AF4113">
        <w:trPr>
          <w:trHeight w:val="75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8670CA" w:rsidRDefault="008670CA">
            <w:pPr>
              <w:ind w:left="-112" w:right="-193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  <w:r w:rsidRPr="008670CA">
              <w:rPr>
                <w:b/>
                <w:bCs/>
                <w:color w:val="000000"/>
              </w:rPr>
              <w:t>2021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67 667,2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67 667,2</w:t>
            </w:r>
          </w:p>
        </w:tc>
      </w:tr>
      <w:tr w:rsidR="008670CA" w:rsidTr="00AF4113">
        <w:trPr>
          <w:trHeight w:val="75"/>
        </w:trPr>
        <w:tc>
          <w:tcPr>
            <w:tcW w:w="426" w:type="dxa"/>
            <w:vMerge/>
            <w:vAlign w:val="center"/>
            <w:hideMark/>
          </w:tcPr>
          <w:p w:rsidR="008670CA" w:rsidRDefault="008670CA">
            <w:pPr>
              <w:ind w:left="-112" w:right="-193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vAlign w:val="center"/>
            <w:hideMark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  <w:r w:rsidRPr="008670CA">
              <w:rPr>
                <w:b/>
                <w:bCs/>
                <w:color w:val="000000"/>
              </w:rPr>
              <w:t>2022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43 886,1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43 886,1</w:t>
            </w:r>
          </w:p>
        </w:tc>
      </w:tr>
      <w:tr w:rsidR="008670CA" w:rsidTr="00AF4113">
        <w:trPr>
          <w:trHeight w:val="371"/>
        </w:trPr>
        <w:tc>
          <w:tcPr>
            <w:tcW w:w="426" w:type="dxa"/>
            <w:vMerge/>
            <w:vAlign w:val="center"/>
            <w:hideMark/>
          </w:tcPr>
          <w:p w:rsidR="008670CA" w:rsidRDefault="008670CA">
            <w:pPr>
              <w:ind w:left="-112" w:right="-193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vAlign w:val="center"/>
            <w:hideMark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center"/>
              <w:rPr>
                <w:b/>
                <w:bCs/>
                <w:color w:val="000000"/>
              </w:rPr>
            </w:pPr>
            <w:r w:rsidRPr="008670CA">
              <w:rPr>
                <w:b/>
                <w:bCs/>
                <w:color w:val="000000"/>
              </w:rPr>
              <w:t>2023</w:t>
            </w:r>
          </w:p>
        </w:tc>
        <w:tc>
          <w:tcPr>
            <w:tcW w:w="1769" w:type="dxa"/>
            <w:shd w:val="clear" w:color="auto" w:fill="auto"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43 886,1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43 886,1</w:t>
            </w:r>
          </w:p>
        </w:tc>
      </w:tr>
      <w:tr w:rsidR="008670CA" w:rsidTr="00AF4113">
        <w:trPr>
          <w:trHeight w:val="416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670CA" w:rsidRDefault="008670CA">
            <w:pPr>
              <w:ind w:left="-112" w:right="-1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  <w:hideMark/>
          </w:tcPr>
          <w:p w:rsidR="008670CA" w:rsidRPr="008670CA" w:rsidRDefault="008670CA" w:rsidP="008670CA">
            <w:pPr>
              <w:jc w:val="both"/>
              <w:rPr>
                <w:color w:val="000000"/>
              </w:rPr>
            </w:pPr>
            <w:r w:rsidRPr="008670CA">
              <w:rPr>
                <w:rStyle w:val="fontstyle01"/>
                <w:rFonts w:ascii="Times New Roman" w:hAnsi="Times New Roman"/>
                <w:sz w:val="24"/>
                <w:szCs w:val="24"/>
              </w:rPr>
              <w:t>Расходы на обеспечение</w:t>
            </w:r>
            <w:r w:rsidRPr="008670CA">
              <w:rPr>
                <w:color w:val="000000"/>
              </w:rPr>
              <w:br/>
            </w:r>
            <w:r w:rsidRPr="008670CA">
              <w:rPr>
                <w:rStyle w:val="fontstyle01"/>
                <w:rFonts w:ascii="Times New Roman" w:hAnsi="Times New Roman"/>
                <w:sz w:val="24"/>
                <w:szCs w:val="24"/>
              </w:rPr>
              <w:t>деятельности (оказание услуг) учреждений, осуществляющих</w:t>
            </w:r>
            <w:r w:rsidRPr="008670CA">
              <w:rPr>
                <w:color w:val="000000"/>
              </w:rPr>
              <w:br/>
            </w:r>
            <w:r w:rsidRPr="008670CA">
              <w:rPr>
                <w:rStyle w:val="fontstyle01"/>
                <w:rFonts w:ascii="Times New Roman" w:hAnsi="Times New Roman"/>
                <w:sz w:val="24"/>
                <w:szCs w:val="24"/>
              </w:rPr>
              <w:t>управление в сфере дорожного хозяйства</w:t>
            </w:r>
          </w:p>
        </w:tc>
        <w:tc>
          <w:tcPr>
            <w:tcW w:w="2484" w:type="dxa"/>
            <w:shd w:val="clear" w:color="auto" w:fill="auto"/>
            <w:hideMark/>
          </w:tcPr>
          <w:p w:rsidR="008670CA" w:rsidRPr="008670CA" w:rsidRDefault="008670CA" w:rsidP="000A0629">
            <w:pPr>
              <w:jc w:val="center"/>
            </w:pPr>
            <w:r w:rsidRPr="008670CA">
              <w:t>2021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31 547,8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</w:pPr>
            <w:r w:rsidRPr="008670CA">
              <w:t>31 547,8</w:t>
            </w:r>
          </w:p>
        </w:tc>
      </w:tr>
      <w:tr w:rsidR="008670CA" w:rsidTr="00AF4113">
        <w:trPr>
          <w:trHeight w:val="395"/>
        </w:trPr>
        <w:tc>
          <w:tcPr>
            <w:tcW w:w="426" w:type="dxa"/>
            <w:vMerge/>
            <w:vAlign w:val="center"/>
            <w:hideMark/>
          </w:tcPr>
          <w:p w:rsidR="008670CA" w:rsidRDefault="008670CA">
            <w:pPr>
              <w:ind w:left="-112" w:right="-193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vAlign w:val="center"/>
            <w:hideMark/>
          </w:tcPr>
          <w:p w:rsidR="008670CA" w:rsidRPr="008670CA" w:rsidRDefault="008670CA">
            <w:pPr>
              <w:ind w:left="-105" w:right="-111"/>
              <w:jc w:val="center"/>
              <w:rPr>
                <w:color w:val="000000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8670CA" w:rsidRPr="008670CA" w:rsidRDefault="008670CA" w:rsidP="000A0629">
            <w:pPr>
              <w:jc w:val="center"/>
            </w:pPr>
            <w:r w:rsidRPr="008670CA">
              <w:t>2022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43 486,1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70CA" w:rsidRPr="008670CA" w:rsidRDefault="008670CA">
            <w:pPr>
              <w:jc w:val="right"/>
            </w:pPr>
            <w:r w:rsidRPr="008670CA">
              <w:t>43 486,1</w:t>
            </w:r>
          </w:p>
        </w:tc>
      </w:tr>
      <w:tr w:rsidR="008670CA" w:rsidTr="00AF4113">
        <w:trPr>
          <w:trHeight w:val="415"/>
        </w:trPr>
        <w:tc>
          <w:tcPr>
            <w:tcW w:w="426" w:type="dxa"/>
            <w:vMerge/>
            <w:vAlign w:val="center"/>
            <w:hideMark/>
          </w:tcPr>
          <w:p w:rsidR="008670CA" w:rsidRDefault="008670CA">
            <w:pPr>
              <w:ind w:left="-112" w:right="-193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vAlign w:val="center"/>
            <w:hideMark/>
          </w:tcPr>
          <w:p w:rsidR="008670CA" w:rsidRPr="008670CA" w:rsidRDefault="008670CA">
            <w:pPr>
              <w:ind w:left="-105" w:right="-111"/>
              <w:jc w:val="center"/>
              <w:rPr>
                <w:color w:val="000000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8670CA" w:rsidRPr="008670CA" w:rsidRDefault="008670CA" w:rsidP="000A0629">
            <w:pPr>
              <w:jc w:val="center"/>
            </w:pPr>
            <w:r w:rsidRPr="008670CA">
              <w:t>2023</w:t>
            </w:r>
          </w:p>
        </w:tc>
        <w:tc>
          <w:tcPr>
            <w:tcW w:w="1769" w:type="dxa"/>
            <w:shd w:val="clear" w:color="auto" w:fill="auto"/>
          </w:tcPr>
          <w:p w:rsidR="008670CA" w:rsidRPr="008670CA" w:rsidRDefault="008670CA" w:rsidP="008670CA">
            <w:pPr>
              <w:jc w:val="right"/>
            </w:pPr>
            <w:r w:rsidRPr="008670CA">
              <w:t>43 486,1</w:t>
            </w:r>
          </w:p>
        </w:tc>
        <w:tc>
          <w:tcPr>
            <w:tcW w:w="1559" w:type="dxa"/>
            <w:shd w:val="clear" w:color="auto" w:fill="auto"/>
          </w:tcPr>
          <w:p w:rsidR="008670CA" w:rsidRPr="008670CA" w:rsidRDefault="008670CA" w:rsidP="008670CA">
            <w:pPr>
              <w:jc w:val="right"/>
            </w:pPr>
            <w:r w:rsidRPr="008670CA">
              <w:t>43 486,1</w:t>
            </w:r>
          </w:p>
        </w:tc>
      </w:tr>
      <w:tr w:rsidR="008670CA" w:rsidTr="00AF4113">
        <w:trPr>
          <w:trHeight w:val="373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670CA" w:rsidRDefault="008670CA">
            <w:pPr>
              <w:ind w:left="-112" w:right="-1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  <w:hideMark/>
          </w:tcPr>
          <w:p w:rsidR="008670CA" w:rsidRPr="008670CA" w:rsidRDefault="008670CA" w:rsidP="008670CA">
            <w:pPr>
              <w:jc w:val="both"/>
              <w:rPr>
                <w:color w:val="000000"/>
              </w:rPr>
            </w:pPr>
            <w:r w:rsidRPr="008670CA">
              <w:rPr>
                <w:rStyle w:val="fontstyle01"/>
                <w:rFonts w:ascii="Times New Roman" w:hAnsi="Times New Roman"/>
                <w:sz w:val="24"/>
                <w:szCs w:val="24"/>
              </w:rPr>
              <w:t>Компенсация расходов на оплату стоимости проезда и провоза багажа в соответствии с Решением Совета депутатов Провиденского городского округа № 250 от 25 декабря 2015 года «О некоторых гарантиях и компенсациях для лиц, работающих в организациях, финансируемых из бюджета Провиденского городского округа и расположенных на территории Провиденского городского округа»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84" w:type="dxa"/>
            <w:shd w:val="clear" w:color="auto" w:fill="auto"/>
            <w:hideMark/>
          </w:tcPr>
          <w:p w:rsidR="008670CA" w:rsidRPr="008670CA" w:rsidRDefault="008670CA" w:rsidP="000A0629">
            <w:pPr>
              <w:jc w:val="center"/>
            </w:pPr>
            <w:r w:rsidRPr="008670CA">
              <w:t>2021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400,00</w:t>
            </w:r>
          </w:p>
        </w:tc>
      </w:tr>
      <w:tr w:rsidR="008670CA" w:rsidTr="00AF4113">
        <w:trPr>
          <w:trHeight w:val="425"/>
        </w:trPr>
        <w:tc>
          <w:tcPr>
            <w:tcW w:w="426" w:type="dxa"/>
            <w:vMerge/>
            <w:vAlign w:val="center"/>
            <w:hideMark/>
          </w:tcPr>
          <w:p w:rsidR="008670CA" w:rsidRDefault="008670CA">
            <w:pPr>
              <w:ind w:left="-112" w:right="-193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vAlign w:val="center"/>
            <w:hideMark/>
          </w:tcPr>
          <w:p w:rsidR="008670CA" w:rsidRPr="008670CA" w:rsidRDefault="008670CA" w:rsidP="008670CA">
            <w:pPr>
              <w:ind w:left="-105" w:right="-111"/>
              <w:jc w:val="both"/>
              <w:rPr>
                <w:color w:val="000000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8670CA" w:rsidRPr="008670CA" w:rsidRDefault="008670CA" w:rsidP="000A0629">
            <w:pPr>
              <w:jc w:val="center"/>
            </w:pPr>
            <w:r w:rsidRPr="008670CA">
              <w:t>2022</w:t>
            </w:r>
          </w:p>
        </w:tc>
        <w:tc>
          <w:tcPr>
            <w:tcW w:w="176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400,00</w:t>
            </w:r>
          </w:p>
        </w:tc>
      </w:tr>
      <w:tr w:rsidR="008670CA" w:rsidTr="00AF4113">
        <w:trPr>
          <w:trHeight w:val="75"/>
        </w:trPr>
        <w:tc>
          <w:tcPr>
            <w:tcW w:w="426" w:type="dxa"/>
            <w:vMerge/>
            <w:vAlign w:val="center"/>
            <w:hideMark/>
          </w:tcPr>
          <w:p w:rsidR="008670CA" w:rsidRDefault="008670CA">
            <w:pPr>
              <w:ind w:left="-112" w:right="-193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vAlign w:val="center"/>
            <w:hideMark/>
          </w:tcPr>
          <w:p w:rsidR="008670CA" w:rsidRPr="008670CA" w:rsidRDefault="008670CA" w:rsidP="008670CA">
            <w:pPr>
              <w:ind w:left="-105" w:right="-111"/>
              <w:jc w:val="both"/>
              <w:rPr>
                <w:color w:val="000000"/>
              </w:rPr>
            </w:pPr>
          </w:p>
        </w:tc>
        <w:tc>
          <w:tcPr>
            <w:tcW w:w="2484" w:type="dxa"/>
            <w:shd w:val="clear" w:color="auto" w:fill="auto"/>
            <w:hideMark/>
          </w:tcPr>
          <w:p w:rsidR="008670CA" w:rsidRPr="008670CA" w:rsidRDefault="008670CA" w:rsidP="000A0629">
            <w:pPr>
              <w:jc w:val="center"/>
            </w:pPr>
            <w:r w:rsidRPr="008670CA">
              <w:t>2023</w:t>
            </w:r>
          </w:p>
        </w:tc>
        <w:tc>
          <w:tcPr>
            <w:tcW w:w="1769" w:type="dxa"/>
            <w:shd w:val="clear" w:color="auto" w:fill="auto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8670CA" w:rsidRPr="008670CA" w:rsidRDefault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400,00</w:t>
            </w:r>
          </w:p>
        </w:tc>
      </w:tr>
      <w:tr w:rsidR="008670CA" w:rsidTr="00AF4113">
        <w:trPr>
          <w:trHeight w:val="500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8670CA" w:rsidRDefault="008670CA">
            <w:pPr>
              <w:ind w:left="-112" w:right="-19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3573" w:type="dxa"/>
            <w:vMerge w:val="restart"/>
            <w:shd w:val="clear" w:color="auto" w:fill="auto"/>
            <w:vAlign w:val="center"/>
          </w:tcPr>
          <w:p w:rsidR="008670CA" w:rsidRPr="008670CA" w:rsidRDefault="008670CA" w:rsidP="008670CA">
            <w:pPr>
              <w:jc w:val="both"/>
              <w:rPr>
                <w:color w:val="000000"/>
              </w:rPr>
            </w:pPr>
            <w:r w:rsidRPr="008670CA">
              <w:rPr>
                <w:rStyle w:val="fontstyle01"/>
                <w:rFonts w:ascii="Times New Roman" w:hAnsi="Times New Roman"/>
                <w:sz w:val="24"/>
                <w:szCs w:val="24"/>
              </w:rPr>
              <w:t>Материально-техническое оснащение бюджетного учреждения, осуществляющего деятельность в сфере дорожного хозяйства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484" w:type="dxa"/>
            <w:shd w:val="clear" w:color="auto" w:fill="auto"/>
          </w:tcPr>
          <w:p w:rsidR="008670CA" w:rsidRPr="008670CA" w:rsidRDefault="008670CA" w:rsidP="000A0629">
            <w:pPr>
              <w:jc w:val="center"/>
              <w:rPr>
                <w:color w:val="000000"/>
              </w:rPr>
            </w:pPr>
            <w:r w:rsidRPr="008670CA">
              <w:rPr>
                <w:color w:val="000000"/>
              </w:rPr>
              <w:t>2021</w:t>
            </w:r>
          </w:p>
        </w:tc>
        <w:tc>
          <w:tcPr>
            <w:tcW w:w="1769" w:type="dxa"/>
            <w:shd w:val="clear" w:color="auto" w:fill="auto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35 719,4</w:t>
            </w:r>
          </w:p>
        </w:tc>
        <w:tc>
          <w:tcPr>
            <w:tcW w:w="1559" w:type="dxa"/>
            <w:shd w:val="clear" w:color="auto" w:fill="auto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35 719,4</w:t>
            </w:r>
          </w:p>
        </w:tc>
      </w:tr>
      <w:tr w:rsidR="008670CA" w:rsidTr="00AF4113">
        <w:trPr>
          <w:trHeight w:val="500"/>
        </w:trPr>
        <w:tc>
          <w:tcPr>
            <w:tcW w:w="426" w:type="dxa"/>
            <w:vMerge/>
            <w:shd w:val="clear" w:color="auto" w:fill="auto"/>
            <w:vAlign w:val="center"/>
          </w:tcPr>
          <w:p w:rsidR="008670CA" w:rsidRDefault="008670CA">
            <w:pPr>
              <w:ind w:left="-112" w:right="-19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670CA" w:rsidRPr="008670CA" w:rsidRDefault="008670C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8670CA" w:rsidRPr="008670CA" w:rsidRDefault="008670CA" w:rsidP="000A0629">
            <w:pPr>
              <w:jc w:val="center"/>
              <w:rPr>
                <w:color w:val="000000"/>
              </w:rPr>
            </w:pPr>
            <w:r w:rsidRPr="008670CA">
              <w:rPr>
                <w:color w:val="000000"/>
              </w:rPr>
              <w:t>2022</w:t>
            </w:r>
          </w:p>
        </w:tc>
        <w:tc>
          <w:tcPr>
            <w:tcW w:w="1769" w:type="dxa"/>
            <w:shd w:val="clear" w:color="auto" w:fill="auto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Pr="008670CA">
              <w:rPr>
                <w:bCs/>
              </w:rPr>
              <w:t>0</w:t>
            </w:r>
          </w:p>
        </w:tc>
      </w:tr>
      <w:tr w:rsidR="008670CA" w:rsidTr="00AF4113">
        <w:trPr>
          <w:trHeight w:val="1540"/>
        </w:trPr>
        <w:tc>
          <w:tcPr>
            <w:tcW w:w="426" w:type="dxa"/>
            <w:vMerge/>
            <w:shd w:val="clear" w:color="auto" w:fill="auto"/>
            <w:vAlign w:val="center"/>
          </w:tcPr>
          <w:p w:rsidR="008670CA" w:rsidRDefault="008670CA">
            <w:pPr>
              <w:ind w:left="-112" w:right="-19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73" w:type="dxa"/>
            <w:vMerge/>
            <w:shd w:val="clear" w:color="auto" w:fill="auto"/>
            <w:vAlign w:val="center"/>
          </w:tcPr>
          <w:p w:rsidR="008670CA" w:rsidRPr="008670CA" w:rsidRDefault="008670CA">
            <w:pPr>
              <w:jc w:val="center"/>
              <w:rPr>
                <w:rStyle w:val="fontstyle01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4" w:type="dxa"/>
            <w:shd w:val="clear" w:color="auto" w:fill="auto"/>
          </w:tcPr>
          <w:p w:rsidR="008670CA" w:rsidRPr="008670CA" w:rsidRDefault="008670CA" w:rsidP="000A0629">
            <w:pPr>
              <w:jc w:val="center"/>
              <w:rPr>
                <w:color w:val="000000"/>
              </w:rPr>
            </w:pPr>
            <w:r w:rsidRPr="008670CA">
              <w:rPr>
                <w:color w:val="000000"/>
              </w:rPr>
              <w:t>2023</w:t>
            </w:r>
          </w:p>
        </w:tc>
        <w:tc>
          <w:tcPr>
            <w:tcW w:w="1769" w:type="dxa"/>
            <w:shd w:val="clear" w:color="auto" w:fill="auto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 w:rsidRPr="008670CA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8670CA" w:rsidRPr="008670CA" w:rsidRDefault="008670CA" w:rsidP="008670CA">
            <w:pPr>
              <w:jc w:val="right"/>
              <w:rPr>
                <w:bCs/>
              </w:rPr>
            </w:pPr>
            <w:r>
              <w:rPr>
                <w:bCs/>
              </w:rPr>
              <w:t>0,</w:t>
            </w:r>
            <w:r w:rsidRPr="008670CA">
              <w:rPr>
                <w:bCs/>
              </w:rPr>
              <w:t>0</w:t>
            </w:r>
          </w:p>
        </w:tc>
      </w:tr>
    </w:tbl>
    <w:tbl>
      <w:tblPr>
        <w:tblpPr w:leftFromText="180" w:rightFromText="180" w:vertAnchor="text" w:tblpX="20731" w:tblpY="-154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8670CA" w:rsidTr="008670CA">
        <w:trPr>
          <w:trHeight w:val="285"/>
        </w:trPr>
        <w:tc>
          <w:tcPr>
            <w:tcW w:w="324" w:type="dxa"/>
          </w:tcPr>
          <w:p w:rsidR="008670CA" w:rsidRDefault="008670CA" w:rsidP="008670CA">
            <w:pPr>
              <w:pStyle w:val="a4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F77245" w:rsidRDefault="00F77245">
      <w:pPr>
        <w:pStyle w:val="a4"/>
        <w:rPr>
          <w:bCs/>
          <w:sz w:val="28"/>
          <w:szCs w:val="28"/>
        </w:rPr>
      </w:pPr>
    </w:p>
    <w:p w:rsidR="00F77245" w:rsidRDefault="00DB4114">
      <w:pPr>
        <w:pStyle w:val="1"/>
        <w:spacing w:before="0" w:after="2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VII. Организация управления и контроль над ходом реализации Муниципальной программы</w:t>
      </w:r>
    </w:p>
    <w:p w:rsidR="00F77245" w:rsidRDefault="00DB41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Текущее управление и контроль реализации Муниципальной программы осуществляет ответственный исполнитель.</w:t>
      </w:r>
    </w:p>
    <w:p w:rsidR="00F77245" w:rsidRDefault="00DB41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>
          <w:rPr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, установленным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администрации Провиденского городского округа от 10 июля 2018 года № 212 «Об утверждении Порядка разработки, реализации и оценки эффективности муниципальных программ Провиденского городского округа» ответственный исполнитель представляет в Управление финансов, экономики и имущественных   отношений администрации Провиденского городского округа:</w:t>
      </w:r>
    </w:p>
    <w:p w:rsidR="00F77245" w:rsidRDefault="00DB411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1) годовой отчет ходе реализации муниципальной программы (в разрезе каждой подпрограммы, основного мероприятия, мероприятия, ВЦП и мероприятий ВЦП) по форме согласно приложению 5;</w:t>
      </w:r>
    </w:p>
    <w:p w:rsidR="00F77245" w:rsidRDefault="00DB411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2) сведения о достижении значений целевых индикаторов (показателей) муниципальной программы за отчетный финансовый год по форме согласно приложению 6;</w:t>
      </w:r>
    </w:p>
    <w:p w:rsidR="00F77245" w:rsidRDefault="00DB4114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3) аналитическая записка о ходе реализации муниципальной программы, включающая, в том числе описание конкретных результатов реализации муниципальной программы, достигнутых за отчетный период, информацию о нереализованных или реализованных не в полной мере мероприятиях подпрограмм и ВЦП с указанием причин.</w:t>
      </w:r>
    </w:p>
    <w:tbl>
      <w:tblPr>
        <w:tblW w:w="5265" w:type="dxa"/>
        <w:tblInd w:w="10294" w:type="dxa"/>
        <w:tblLook w:val="04A0" w:firstRow="1" w:lastRow="0" w:firstColumn="1" w:lastColumn="0" w:noHBand="0" w:noVBand="1"/>
      </w:tblPr>
      <w:tblGrid>
        <w:gridCol w:w="5265"/>
      </w:tblGrid>
      <w:tr w:rsidR="00F77245">
        <w:trPr>
          <w:trHeight w:val="1159"/>
        </w:trPr>
        <w:tc>
          <w:tcPr>
            <w:tcW w:w="5265" w:type="dxa"/>
          </w:tcPr>
          <w:p w:rsidR="00F77245" w:rsidRDefault="00F7724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77245" w:rsidRDefault="00F77245">
      <w:pPr>
        <w:pStyle w:val="a4"/>
        <w:rPr>
          <w:bCs/>
          <w:sz w:val="28"/>
          <w:szCs w:val="28"/>
        </w:rPr>
      </w:pPr>
    </w:p>
    <w:sectPr w:rsidR="00F7724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9E1" w:rsidRDefault="00BD09E1">
      <w:r>
        <w:separator/>
      </w:r>
    </w:p>
  </w:endnote>
  <w:endnote w:type="continuationSeparator" w:id="0">
    <w:p w:rsidR="00BD09E1" w:rsidRDefault="00BD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9E1" w:rsidRDefault="00BD09E1">
      <w:r>
        <w:separator/>
      </w:r>
    </w:p>
  </w:footnote>
  <w:footnote w:type="continuationSeparator" w:id="0">
    <w:p w:rsidR="00BD09E1" w:rsidRDefault="00BD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D32"/>
    <w:multiLevelType w:val="multilevel"/>
    <w:tmpl w:val="95BCE148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203"/>
        </w:tabs>
        <w:ind w:left="1069" w:firstLine="851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304198E"/>
    <w:multiLevelType w:val="hybridMultilevel"/>
    <w:tmpl w:val="C3CCEC6C"/>
    <w:lvl w:ilvl="0" w:tplc="04190013">
      <w:start w:val="1"/>
      <w:numFmt w:val="upperRoman"/>
      <w:lvlText w:val="%1."/>
      <w:lvlJc w:val="right"/>
      <w:pPr>
        <w:tabs>
          <w:tab w:val="num" w:pos="1277"/>
        </w:tabs>
        <w:ind w:left="1277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11">
      <w:start w:val="1"/>
      <w:numFmt w:val="decimal"/>
      <w:lvlText w:val="%4)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2" w15:restartNumberingAfterBreak="0">
    <w:nsid w:val="24272381"/>
    <w:multiLevelType w:val="hybridMultilevel"/>
    <w:tmpl w:val="95BCE148"/>
    <w:lvl w:ilvl="0" w:tplc="6D9EB1E8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plc="F590598C">
      <w:start w:val="1"/>
      <w:numFmt w:val="bullet"/>
      <w:lvlText w:val="-"/>
      <w:lvlJc w:val="left"/>
      <w:pPr>
        <w:tabs>
          <w:tab w:val="num" w:pos="2203"/>
        </w:tabs>
        <w:ind w:left="1069" w:firstLine="851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2C30704F"/>
    <w:multiLevelType w:val="multilevel"/>
    <w:tmpl w:val="F67EFBA4"/>
    <w:lvl w:ilvl="0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40" w:firstLine="680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" w15:restartNumberingAfterBreak="0">
    <w:nsid w:val="2DB36189"/>
    <w:multiLevelType w:val="hybridMultilevel"/>
    <w:tmpl w:val="2DD8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054ECA"/>
    <w:multiLevelType w:val="hybridMultilevel"/>
    <w:tmpl w:val="AC7A3174"/>
    <w:lvl w:ilvl="0" w:tplc="07DA8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2C23EE"/>
    <w:multiLevelType w:val="multilevel"/>
    <w:tmpl w:val="0CC8C8C4"/>
    <w:lvl w:ilvl="0">
      <w:start w:val="1"/>
      <w:numFmt w:val="upperRoman"/>
      <w:lvlText w:val="%1."/>
      <w:lvlJc w:val="left"/>
      <w:pPr>
        <w:tabs>
          <w:tab w:val="num" w:pos="884"/>
        </w:tabs>
        <w:ind w:left="9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D32C70"/>
    <w:multiLevelType w:val="hybridMultilevel"/>
    <w:tmpl w:val="3394FC0C"/>
    <w:lvl w:ilvl="0" w:tplc="F590598C">
      <w:start w:val="1"/>
      <w:numFmt w:val="bullet"/>
      <w:lvlText w:val="-"/>
      <w:lvlJc w:val="left"/>
      <w:pPr>
        <w:tabs>
          <w:tab w:val="num" w:pos="1183"/>
        </w:tabs>
        <w:ind w:left="49" w:firstLine="851"/>
      </w:pPr>
      <w:rPr>
        <w:rFonts w:ascii="Sylfaen" w:hAnsi="Sylfaen" w:hint="default"/>
      </w:rPr>
    </w:lvl>
    <w:lvl w:ilvl="1" w:tplc="DF8A6134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100607DE">
      <w:start w:val="1"/>
      <w:numFmt w:val="upperRoman"/>
      <w:lvlText w:val="%3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FC1DD6"/>
    <w:multiLevelType w:val="hybridMultilevel"/>
    <w:tmpl w:val="F67EFBA4"/>
    <w:lvl w:ilvl="0" w:tplc="6E1ED486">
      <w:start w:val="1"/>
      <w:numFmt w:val="upperRoman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DF6E06F4">
      <w:start w:val="1"/>
      <w:numFmt w:val="bullet"/>
      <w:lvlText w:val="-"/>
      <w:lvlJc w:val="left"/>
      <w:pPr>
        <w:tabs>
          <w:tab w:val="num" w:pos="720"/>
        </w:tabs>
        <w:ind w:left="40" w:firstLine="680"/>
      </w:pPr>
      <w:rPr>
        <w:rFonts w:ascii="Sylfaen" w:hAnsi="Sylfae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9" w15:restartNumberingAfterBreak="0">
    <w:nsid w:val="5D23583F"/>
    <w:multiLevelType w:val="multilevel"/>
    <w:tmpl w:val="95BCE148"/>
    <w:lvl w:ilvl="0">
      <w:start w:val="1"/>
      <w:numFmt w:val="upperRoman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2203"/>
        </w:tabs>
        <w:ind w:left="1069" w:firstLine="851"/>
      </w:pPr>
      <w:rPr>
        <w:rFonts w:ascii="Sylfaen" w:hAnsi="Sylfaen" w:hint="default"/>
      </w:rPr>
    </w:lvl>
    <w:lvl w:ilvl="2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6AA45413"/>
    <w:multiLevelType w:val="hybridMultilevel"/>
    <w:tmpl w:val="4D8C72D2"/>
    <w:lvl w:ilvl="0" w:tplc="9D6A9A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680F3A"/>
    <w:multiLevelType w:val="hybridMultilevel"/>
    <w:tmpl w:val="EC9014FE"/>
    <w:lvl w:ilvl="0" w:tplc="03D8E8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098549F"/>
    <w:multiLevelType w:val="hybridMultilevel"/>
    <w:tmpl w:val="0CC8C8C4"/>
    <w:lvl w:ilvl="0" w:tplc="1584B718">
      <w:start w:val="1"/>
      <w:numFmt w:val="upperRoman"/>
      <w:lvlText w:val="%1."/>
      <w:lvlJc w:val="left"/>
      <w:pPr>
        <w:tabs>
          <w:tab w:val="num" w:pos="884"/>
        </w:tabs>
        <w:ind w:left="997" w:hanging="397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B421F5"/>
    <w:multiLevelType w:val="hybridMultilevel"/>
    <w:tmpl w:val="B4B04DB4"/>
    <w:lvl w:ilvl="0" w:tplc="DF6E06F4">
      <w:start w:val="1"/>
      <w:numFmt w:val="bullet"/>
      <w:lvlText w:val="-"/>
      <w:lvlJc w:val="left"/>
      <w:pPr>
        <w:tabs>
          <w:tab w:val="num" w:pos="1429"/>
        </w:tabs>
        <w:ind w:left="749" w:firstLine="68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2"/>
  </w:num>
  <w:num w:numId="6">
    <w:abstractNumId w:val="13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245"/>
    <w:rsid w:val="00086912"/>
    <w:rsid w:val="000A0629"/>
    <w:rsid w:val="002375D7"/>
    <w:rsid w:val="00451D11"/>
    <w:rsid w:val="006812EA"/>
    <w:rsid w:val="0074551E"/>
    <w:rsid w:val="008670CA"/>
    <w:rsid w:val="008B030D"/>
    <w:rsid w:val="00925DE9"/>
    <w:rsid w:val="009D5DD4"/>
    <w:rsid w:val="00AF4113"/>
    <w:rsid w:val="00B31F16"/>
    <w:rsid w:val="00BD09E1"/>
    <w:rsid w:val="00BF5284"/>
    <w:rsid w:val="00CD758E"/>
    <w:rsid w:val="00DB4114"/>
    <w:rsid w:val="00F77245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7108"/>
  <w15:chartTrackingRefBased/>
  <w15:docId w15:val="{2679B1CE-330F-4FE7-9D99-D2A6005B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6"/>
      <w:szCs w:val="20"/>
    </w:rPr>
  </w:style>
  <w:style w:type="paragraph" w:styleId="a4">
    <w:name w:val="Body Text Indent"/>
    <w:basedOn w:val="a"/>
    <w:link w:val="a5"/>
    <w:pPr>
      <w:ind w:firstLine="851"/>
      <w:jc w:val="both"/>
    </w:pPr>
    <w:rPr>
      <w:sz w:val="26"/>
      <w:szCs w:val="20"/>
    </w:rPr>
  </w:style>
  <w:style w:type="paragraph" w:styleId="2">
    <w:name w:val="Body Text Indent 2"/>
    <w:basedOn w:val="a"/>
    <w:pPr>
      <w:ind w:firstLine="851"/>
    </w:pPr>
    <w:rPr>
      <w:sz w:val="26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rPr>
      <w:sz w:val="26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9">
    <w:name w:val="Title"/>
    <w:basedOn w:val="a"/>
    <w:qFormat/>
    <w:pPr>
      <w:jc w:val="center"/>
    </w:pPr>
    <w:rPr>
      <w:b/>
      <w:sz w:val="28"/>
      <w:szCs w:val="20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 Знак Знак"/>
    <w:basedOn w:val="a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d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link w:val="ConsPlusNormal0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Pr>
      <w:sz w:val="24"/>
      <w:szCs w:val="24"/>
      <w:lang w:val="ru-RU" w:eastAsia="ru-RU" w:bidi="ar-SA"/>
    </w:rPr>
  </w:style>
  <w:style w:type="paragraph" w:customStyle="1" w:styleId="table">
    <w:name w:val="table"/>
    <w:basedOn w:val="a"/>
    <w:pPr>
      <w:spacing w:before="100" w:beforeAutospacing="1" w:after="100" w:afterAutospacing="1"/>
    </w:pPr>
  </w:style>
  <w:style w:type="paragraph" w:styleId="ae">
    <w:name w:val="footer"/>
    <w:basedOn w:val="a"/>
    <w:link w:val="a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Pr>
      <w:sz w:val="24"/>
      <w:szCs w:val="24"/>
    </w:rPr>
  </w:style>
  <w:style w:type="paragraph" w:customStyle="1" w:styleId="Style19">
    <w:name w:val="Style19"/>
    <w:basedOn w:val="a"/>
    <w:pPr>
      <w:widowControl w:val="0"/>
      <w:autoSpaceDE w:val="0"/>
      <w:autoSpaceDN w:val="0"/>
      <w:adjustRightInd w:val="0"/>
      <w:spacing w:line="227" w:lineRule="atLeast"/>
      <w:jc w:val="both"/>
    </w:pPr>
  </w:style>
  <w:style w:type="character" w:customStyle="1" w:styleId="FontStyle34">
    <w:name w:val="Font Style34"/>
    <w:rPr>
      <w:rFonts w:ascii="Courier New" w:hAnsi="Courier New" w:cs="Courier New"/>
      <w:sz w:val="18"/>
      <w:szCs w:val="18"/>
    </w:rPr>
  </w:style>
  <w:style w:type="paragraph" w:styleId="af0">
    <w:name w:val="No Spacing"/>
    <w:basedOn w:val="a"/>
    <w:qFormat/>
    <w:rPr>
      <w:rFonts w:ascii="Cambria" w:hAnsi="Cambria"/>
      <w:sz w:val="22"/>
      <w:szCs w:val="22"/>
      <w:lang w:val="en-US" w:eastAsia="en-US" w:bidi="en-US"/>
    </w:rPr>
  </w:style>
  <w:style w:type="character" w:customStyle="1" w:styleId="a5">
    <w:name w:val="Основной текст с отступом Знак"/>
    <w:link w:val="a4"/>
    <w:locked/>
    <w:rPr>
      <w:sz w:val="26"/>
    </w:rPr>
  </w:style>
  <w:style w:type="character" w:customStyle="1" w:styleId="fontstyle01">
    <w:name w:val="fontstyle01"/>
    <w:basedOn w:val="a0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208123.100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1208123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SPecialiST RePack</Company>
  <LinksUpToDate>false</LinksUpToDate>
  <CharactersWithSpaces>11017</CharactersWithSpaces>
  <SharedDoc>false</SharedDoc>
  <HLinks>
    <vt:vector size="12" baseType="variant"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garantf1://31208123.0/</vt:lpwstr>
      </vt:variant>
      <vt:variant>
        <vt:lpwstr/>
      </vt:variant>
      <vt:variant>
        <vt:i4>5177354</vt:i4>
      </vt:variant>
      <vt:variant>
        <vt:i4>0</vt:i4>
      </vt:variant>
      <vt:variant>
        <vt:i4>0</vt:i4>
      </vt:variant>
      <vt:variant>
        <vt:i4>5</vt:i4>
      </vt:variant>
      <vt:variant>
        <vt:lpwstr>garantf1://31208123.1000/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User</dc:creator>
  <cp:keywords/>
  <cp:lastModifiedBy>Елена</cp:lastModifiedBy>
  <cp:revision>29</cp:revision>
  <cp:lastPrinted>2021-07-08T03:56:00Z</cp:lastPrinted>
  <dcterms:created xsi:type="dcterms:W3CDTF">2021-06-14T21:59:00Z</dcterms:created>
  <dcterms:modified xsi:type="dcterms:W3CDTF">2021-07-08T05:32:00Z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-657526171</vt:i4>
  </property>
  <property fmtid="{D5CDD505-2E9C-101B-9397-08002B2CF9AE}" pid="3" name="_EmailSubject">
    <vt:lpwstr>Форма для МО по хлебу</vt:lpwstr>
  </property>
  <property fmtid="{D5CDD505-2E9C-101B-9397-08002B2CF9AE}" pid="4" name="_AuthorEmail">
    <vt:lpwstr>YanK@fond.chukotka.org</vt:lpwstr>
  </property>
  <property fmtid="{D5CDD505-2E9C-101B-9397-08002B2CF9AE}" pid="5" name="_AuthorEmailDisplayName">
    <vt:lpwstr>Киселев Яков</vt:lpwstr>
  </property>
  <property fmtid="{D5CDD505-2E9C-101B-9397-08002B2CF9AE}" pid="6" name="_PreviousAdHocReviewCycleID">
    <vt:i4>716467816</vt:i4>
  </property>
  <property fmtid="{D5CDD505-2E9C-101B-9397-08002B2CF9AE}" pid="7" name="_ReviewingToolsShownOnce">
    <vt:lpwstr/>
  </property>
</Properties>
</file>